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D6B6" w14:textId="77777777" w:rsidR="002E5883" w:rsidRPr="009E7AFA" w:rsidRDefault="002E5883" w:rsidP="002E5883">
      <w:pPr>
        <w:jc w:val="center"/>
        <w:rPr>
          <w:rFonts w:asciiTheme="majorHAnsi" w:hAnsiTheme="majorHAnsi" w:cstheme="majorHAnsi"/>
          <w:b/>
        </w:rPr>
      </w:pPr>
      <w:r w:rsidRPr="009E7AFA">
        <w:rPr>
          <w:rFonts w:asciiTheme="majorHAnsi" w:hAnsiTheme="majorHAnsi" w:cstheme="majorHAnsi"/>
          <w:b/>
        </w:rPr>
        <w:t xml:space="preserve">Anexo 1 </w:t>
      </w:r>
    </w:p>
    <w:p w14:paraId="6104EEBD" w14:textId="77777777" w:rsidR="002E5883" w:rsidRDefault="002E5883" w:rsidP="002E5883">
      <w:pPr>
        <w:jc w:val="center"/>
        <w:rPr>
          <w:rFonts w:asciiTheme="majorHAnsi" w:hAnsiTheme="majorHAnsi" w:cstheme="majorHAnsi"/>
          <w:b/>
          <w:color w:val="39334A"/>
        </w:rPr>
      </w:pPr>
      <w:r>
        <w:rPr>
          <w:rFonts w:asciiTheme="majorHAnsi" w:hAnsiTheme="majorHAnsi" w:cstheme="majorHAnsi"/>
          <w:b/>
          <w:color w:val="39334A"/>
        </w:rPr>
        <w:t>Línea de Crédito microempresas de Zonas de Frontera, San Andrés, Providencia y Santa Catalina Se Reactivan</w:t>
      </w:r>
    </w:p>
    <w:p w14:paraId="6A1E2BFB" w14:textId="77777777" w:rsidR="002E5883" w:rsidRPr="009E7AFA" w:rsidRDefault="002E5883" w:rsidP="002E5883">
      <w:pPr>
        <w:jc w:val="center"/>
        <w:rPr>
          <w:rFonts w:asciiTheme="majorHAnsi" w:hAnsiTheme="majorHAnsi" w:cstheme="majorHAnsi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2320"/>
        <w:gridCol w:w="2338"/>
        <w:gridCol w:w="1513"/>
        <w:gridCol w:w="1112"/>
      </w:tblGrid>
      <w:tr w:rsidR="002E5883" w:rsidRPr="002E5883" w14:paraId="586226CE" w14:textId="77777777" w:rsidTr="005615B9">
        <w:trPr>
          <w:trHeight w:val="4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7B4B6" w14:textId="77777777" w:rsidR="002E5883" w:rsidRPr="002E5883" w:rsidRDefault="002E5883" w:rsidP="005615B9">
            <w:pPr>
              <w:keepNext/>
              <w:outlineLvl w:val="0"/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ab/>
            </w: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ab/>
            </w: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ab/>
            </w: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ab/>
              <w:t>ZONAS DE FRONTERA Y UNIDADES DE DESARRROLLO FRONTERIZO</w:t>
            </w:r>
          </w:p>
          <w:p w14:paraId="7AEC5ABE" w14:textId="77777777" w:rsidR="002E5883" w:rsidRPr="002E5883" w:rsidRDefault="002E5883" w:rsidP="005615B9">
            <w:pPr>
              <w:jc w:val="center"/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>SEGÚN DECRETOS REGLAMENTARIOS DE LOS ARTÍCULOS 4 Y 5 DE LA LEY 191 DE 1995 (*)</w:t>
            </w:r>
          </w:p>
        </w:tc>
      </w:tr>
      <w:tr w:rsidR="002E5883" w:rsidRPr="002E5883" w14:paraId="350C4C48" w14:textId="77777777" w:rsidTr="005615B9">
        <w:trPr>
          <w:cantSplit/>
          <w:trHeight w:hRule="exact" w:val="301"/>
        </w:trPr>
        <w:tc>
          <w:tcPr>
            <w:tcW w:w="8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7895F" w14:textId="77777777" w:rsidR="002E5883" w:rsidRPr="002E5883" w:rsidRDefault="002E5883" w:rsidP="005615B9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>Departamento</w:t>
            </w:r>
          </w:p>
        </w:tc>
        <w:tc>
          <w:tcPr>
            <w:tcW w:w="26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DE7DE" w14:textId="77777777" w:rsidR="002E5883" w:rsidRPr="002E5883" w:rsidRDefault="002E5883" w:rsidP="005615B9">
            <w:pPr>
              <w:jc w:val="center"/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Municipio</w:t>
            </w: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4E7C5" w14:textId="77777777" w:rsidR="002E5883" w:rsidRPr="002E5883" w:rsidRDefault="002E5883" w:rsidP="005615B9">
            <w:pPr>
              <w:jc w:val="center"/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Corregimiento</w:t>
            </w:r>
          </w:p>
        </w:tc>
      </w:tr>
      <w:tr w:rsidR="002E5883" w:rsidRPr="002E5883" w14:paraId="63899043" w14:textId="77777777" w:rsidTr="005615B9">
        <w:trPr>
          <w:cantSplit/>
          <w:trHeight w:hRule="exact" w:val="219"/>
        </w:trPr>
        <w:tc>
          <w:tcPr>
            <w:tcW w:w="8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D7263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217CC" w14:textId="77777777" w:rsidR="002E5883" w:rsidRPr="002E5883" w:rsidRDefault="002E5883" w:rsidP="005615B9">
            <w:pPr>
              <w:jc w:val="center"/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n-GB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n-GB" w:eastAsia="es-ES"/>
              </w:rPr>
              <w:t>ZF (1)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7C4B2" w14:textId="77777777" w:rsidR="002E5883" w:rsidRPr="002E5883" w:rsidRDefault="002E5883" w:rsidP="005615B9">
            <w:pPr>
              <w:jc w:val="center"/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n-GB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n-GB" w:eastAsia="es-ES"/>
              </w:rPr>
              <w:t>UDF (2)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1EDD4" w14:textId="77777777" w:rsidR="002E5883" w:rsidRPr="002E5883" w:rsidRDefault="002E5883" w:rsidP="005615B9">
            <w:pPr>
              <w:jc w:val="center"/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n-GB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n-GB" w:eastAsia="es-ES"/>
              </w:rPr>
              <w:t>ZF (1)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DBFF3" w14:textId="77777777" w:rsidR="002E5883" w:rsidRPr="002E5883" w:rsidRDefault="002E5883" w:rsidP="005615B9">
            <w:pPr>
              <w:jc w:val="center"/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UDF (2)</w:t>
            </w:r>
          </w:p>
        </w:tc>
      </w:tr>
      <w:tr w:rsidR="002E5883" w:rsidRPr="002E5883" w14:paraId="1959B3B5" w14:textId="77777777" w:rsidTr="005615B9">
        <w:trPr>
          <w:cantSplit/>
          <w:trHeight w:val="793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0430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>Amazonas</w:t>
            </w:r>
          </w:p>
          <w:p w14:paraId="00C7C0C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A3B615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31238A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D1408D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3073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Leticia</w:t>
            </w:r>
          </w:p>
          <w:p w14:paraId="0D589D8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Puerto Nariño</w:t>
            </w:r>
          </w:p>
          <w:p w14:paraId="1BA07D1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6ECB46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1D1985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E92B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Leticia</w:t>
            </w:r>
          </w:p>
          <w:p w14:paraId="5FDFE84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Puerto Nariño</w:t>
            </w:r>
          </w:p>
          <w:p w14:paraId="2BDEA531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774018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86B386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FFFF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La Pedrera</w:t>
            </w:r>
          </w:p>
          <w:p w14:paraId="11EB8F2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Tarapacá</w:t>
            </w:r>
          </w:p>
          <w:p w14:paraId="14E0B97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Puerto Arica</w:t>
            </w:r>
          </w:p>
          <w:p w14:paraId="0C38F23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El Encanto</w:t>
            </w:r>
          </w:p>
          <w:p w14:paraId="7FAFE5F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Puerto Alegría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710D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Tarapacá</w:t>
            </w:r>
          </w:p>
          <w:p w14:paraId="01EE2B1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8F7545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36C532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DBF923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</w:tr>
      <w:tr w:rsidR="002E5883" w:rsidRPr="002E5883" w14:paraId="7028A6B9" w14:textId="77777777" w:rsidTr="005615B9">
        <w:trPr>
          <w:cantSplit/>
          <w:trHeight w:val="592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FEB2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>Arauca</w:t>
            </w:r>
          </w:p>
          <w:p w14:paraId="11FD7DE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4D2EF7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6B3A649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1574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Arauca</w:t>
            </w:r>
          </w:p>
          <w:p w14:paraId="11ED628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Saravena</w:t>
            </w:r>
          </w:p>
          <w:p w14:paraId="5AEACAC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Arauquita</w:t>
            </w:r>
          </w:p>
          <w:p w14:paraId="7C725BC1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Fortul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6FA0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Arauca</w:t>
            </w:r>
          </w:p>
          <w:p w14:paraId="3A234672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Arauquita</w:t>
            </w:r>
          </w:p>
          <w:p w14:paraId="7652641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1D5EC8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F660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35A383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72A903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6EC1EE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9190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9F19DA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539B20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170D1A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</w:tr>
      <w:tr w:rsidR="002E5883" w:rsidRPr="002E5883" w14:paraId="25D970F4" w14:textId="77777777" w:rsidTr="005615B9">
        <w:trPr>
          <w:trHeight w:hRule="exact" w:val="228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0EEF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>Boyacá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D030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Cubará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AEAD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Cubará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FB07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0A86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</w:tr>
      <w:tr w:rsidR="002E5883" w:rsidRPr="002E5883" w14:paraId="0E1C9E76" w14:textId="77777777" w:rsidTr="005615B9">
        <w:trPr>
          <w:cantSplit/>
          <w:trHeight w:val="1522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F0C1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>Cesar</w:t>
            </w:r>
          </w:p>
          <w:p w14:paraId="1F0FCB3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BF2BB71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6A0DB11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A4EE34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F719ED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4E7709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DD79D4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3B8DA9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5A6EF7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D271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Valledupar</w:t>
            </w:r>
          </w:p>
          <w:p w14:paraId="15121B3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Manaure</w:t>
            </w:r>
          </w:p>
          <w:p w14:paraId="72AACFB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Cesar</w:t>
            </w:r>
          </w:p>
          <w:p w14:paraId="1DF07FC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La Paz</w:t>
            </w:r>
          </w:p>
          <w:p w14:paraId="2E636B9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San Diego</w:t>
            </w:r>
          </w:p>
          <w:p w14:paraId="37230EF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Agustín Codazzi</w:t>
            </w:r>
          </w:p>
          <w:p w14:paraId="5702F44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Becerril</w:t>
            </w:r>
          </w:p>
          <w:p w14:paraId="2761FEA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 xml:space="preserve">La Jagua de </w:t>
            </w:r>
            <w:proofErr w:type="spellStart"/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Ibírico</w:t>
            </w:r>
            <w:proofErr w:type="spellEnd"/>
          </w:p>
          <w:p w14:paraId="7572B1E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Curumaní</w:t>
            </w:r>
          </w:p>
          <w:p w14:paraId="4C206421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Aguachica</w:t>
            </w:r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E253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Valledupar</w:t>
            </w:r>
          </w:p>
          <w:p w14:paraId="60D6D06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Manaure</w:t>
            </w:r>
          </w:p>
          <w:p w14:paraId="2C04D67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Curumaní</w:t>
            </w:r>
          </w:p>
          <w:p w14:paraId="50A4095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Aguachica</w:t>
            </w:r>
          </w:p>
          <w:p w14:paraId="4007295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Agustín Codazzi</w:t>
            </w:r>
          </w:p>
          <w:p w14:paraId="6DC9ED8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6AA6F11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373D85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E3F2A2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8408B2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8575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9AAEF6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DAF43F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7CF5D1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933B0C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F10645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2E6D02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BCC1A8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60223C8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C79DE2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BDAA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B100EC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2131D5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25A606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0317E01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5BBA86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B377E0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AEAEF3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1E809E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6DD1364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</w:tr>
      <w:tr w:rsidR="002E5883" w:rsidRPr="002E5883" w14:paraId="2278D691" w14:textId="77777777" w:rsidTr="005615B9">
        <w:trPr>
          <w:cantSplit/>
          <w:trHeight w:val="412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7C5C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>Choco</w:t>
            </w:r>
          </w:p>
          <w:p w14:paraId="0E6BEE0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D97C1A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E3E6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Acandí</w:t>
            </w:r>
          </w:p>
          <w:p w14:paraId="4BDDABF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Ungía</w:t>
            </w:r>
          </w:p>
          <w:p w14:paraId="121C2BA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proofErr w:type="spellStart"/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Juradó</w:t>
            </w:r>
            <w:proofErr w:type="spellEnd"/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3939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Acandí</w:t>
            </w:r>
          </w:p>
          <w:p w14:paraId="3301CD3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proofErr w:type="spellStart"/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Juradó</w:t>
            </w:r>
            <w:proofErr w:type="spellEnd"/>
          </w:p>
          <w:p w14:paraId="672B7EA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63F7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6DE2CB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466834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7455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6BBC87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6D0636F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</w:tr>
      <w:tr w:rsidR="002E5883" w:rsidRPr="002E5883" w14:paraId="29D6AB83" w14:textId="77777777" w:rsidTr="005615B9">
        <w:trPr>
          <w:cantSplit/>
          <w:trHeight w:val="1535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C2AF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>Guajira</w:t>
            </w:r>
          </w:p>
          <w:p w14:paraId="0398A7E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26E643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0088D1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31A95A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DEB4A9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69A059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DD506D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074143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037441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33CDBB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694E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Riohacha</w:t>
            </w:r>
          </w:p>
          <w:p w14:paraId="1D4B91C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Manaure</w:t>
            </w:r>
          </w:p>
          <w:p w14:paraId="77243EA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Uribia</w:t>
            </w:r>
          </w:p>
          <w:p w14:paraId="44858CA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Maicao</w:t>
            </w:r>
          </w:p>
          <w:p w14:paraId="52729F3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Barrancas</w:t>
            </w:r>
          </w:p>
          <w:p w14:paraId="1253D19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Fonseca</w:t>
            </w:r>
          </w:p>
          <w:p w14:paraId="349B321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San Juan de Cesar</w:t>
            </w:r>
          </w:p>
          <w:p w14:paraId="40DD7FB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El Molino</w:t>
            </w:r>
          </w:p>
          <w:p w14:paraId="0C793D6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Villanueva</w:t>
            </w:r>
          </w:p>
          <w:p w14:paraId="2235CC3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Urumita</w:t>
            </w:r>
          </w:p>
          <w:p w14:paraId="04E9645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Hato Nuevo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AC36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Riohacha</w:t>
            </w:r>
          </w:p>
          <w:p w14:paraId="7FE64A6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Maicao</w:t>
            </w:r>
          </w:p>
          <w:p w14:paraId="40C186BF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El Molino</w:t>
            </w:r>
          </w:p>
          <w:p w14:paraId="5B5B16BD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0844A31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E1F2B77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CD36321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48E95DF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D185E49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AE5DAED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F0CB01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E46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D05336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6B91F24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9084AE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E2F950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27618F1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7A7D41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C80E1B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75FA4B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6B3DB5C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974465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BAC4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6CC375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6373FCD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3B8989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BC24DF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836D63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AC5377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6AED227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64F704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093B0E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CF68EF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</w:tr>
      <w:tr w:rsidR="002E5883" w:rsidRPr="002E5883" w14:paraId="528EE74A" w14:textId="77777777" w:rsidTr="005615B9">
        <w:trPr>
          <w:cantSplit/>
          <w:trHeight w:val="603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E930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>Guainia</w:t>
            </w:r>
          </w:p>
          <w:p w14:paraId="31DAAC7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D161011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2732BA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F5AF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 xml:space="preserve">Puerto </w:t>
            </w:r>
            <w:proofErr w:type="spellStart"/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Inirida</w:t>
            </w:r>
            <w:proofErr w:type="spellEnd"/>
          </w:p>
          <w:p w14:paraId="0031D51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2C92DB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AEAEB0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7E3FD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 xml:space="preserve">Puerto </w:t>
            </w:r>
            <w:proofErr w:type="spellStart"/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Inirida</w:t>
            </w:r>
            <w:proofErr w:type="spellEnd"/>
          </w:p>
          <w:p w14:paraId="2E02288B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3DA28D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35DEA3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E401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San Felipe</w:t>
            </w:r>
          </w:p>
          <w:p w14:paraId="031D16C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La Guadalupe</w:t>
            </w:r>
          </w:p>
          <w:p w14:paraId="0DFFD67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proofErr w:type="spellStart"/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Cacagual</w:t>
            </w:r>
            <w:proofErr w:type="spellEnd"/>
          </w:p>
          <w:p w14:paraId="2AD45F7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Puerto Colombia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F31D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F080E9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324E95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A18555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</w:tr>
      <w:tr w:rsidR="002E5883" w:rsidRPr="002E5883" w14:paraId="4F197B6F" w14:textId="77777777" w:rsidTr="005615B9">
        <w:trPr>
          <w:cantSplit/>
          <w:trHeight w:val="1480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BD5F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>Nariño</w:t>
            </w:r>
          </w:p>
          <w:p w14:paraId="2B5BC3D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A74CC8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6DD7EE9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FE9586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5F0FB6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8EA4B2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F53019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E7114E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C0FA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Pasto</w:t>
            </w:r>
          </w:p>
          <w:p w14:paraId="1232424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Ipiales</w:t>
            </w:r>
          </w:p>
          <w:p w14:paraId="2D2677B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Aldana</w:t>
            </w:r>
          </w:p>
          <w:p w14:paraId="37CC597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Guachucal</w:t>
            </w:r>
          </w:p>
          <w:p w14:paraId="3591E35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Carlosama</w:t>
            </w:r>
          </w:p>
          <w:p w14:paraId="38CBF6D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Cumbal</w:t>
            </w:r>
          </w:p>
          <w:p w14:paraId="03C8AB3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Ricaurte</w:t>
            </w:r>
          </w:p>
          <w:p w14:paraId="445BFC3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Tumaco</w:t>
            </w:r>
          </w:p>
          <w:p w14:paraId="17E6E701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proofErr w:type="spellStart"/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Tuquerres</w:t>
            </w:r>
            <w:proofErr w:type="spellEnd"/>
          </w:p>
        </w:tc>
        <w:tc>
          <w:tcPr>
            <w:tcW w:w="1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8C6D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Pasto</w:t>
            </w:r>
          </w:p>
          <w:p w14:paraId="6D31DA4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Ipiales</w:t>
            </w:r>
          </w:p>
          <w:p w14:paraId="2C8FFFB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Carlosama</w:t>
            </w:r>
          </w:p>
          <w:p w14:paraId="2B52814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proofErr w:type="spellStart"/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Tuquerres</w:t>
            </w:r>
            <w:proofErr w:type="spellEnd"/>
          </w:p>
          <w:p w14:paraId="17363A31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Cumbal</w:t>
            </w:r>
          </w:p>
          <w:p w14:paraId="1663228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Tumaco</w:t>
            </w:r>
          </w:p>
          <w:p w14:paraId="7430356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87DE8F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15F344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48A71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81FC8F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66CD91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8D0ED6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6231063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DC7B4B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16B757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286328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14DCFF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F3B6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C0692A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3349A1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640789B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03B9D5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A0F0E6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EA9824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7F7C25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6E7A10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</w:tr>
      <w:tr w:rsidR="002E5883" w:rsidRPr="002E5883" w14:paraId="0E8BA618" w14:textId="77777777" w:rsidTr="005615B9">
        <w:trPr>
          <w:cantSplit/>
          <w:trHeight w:val="2467"/>
        </w:trPr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12EC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lastRenderedPageBreak/>
              <w:t>Norte de Santander</w:t>
            </w:r>
          </w:p>
          <w:p w14:paraId="058BB5B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BC74D9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7F8ED2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3AED3B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4FC4E6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E5866E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070D9E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46443E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58E4F6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F893C1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ED3537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C35C18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54EA5A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53594F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1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0A26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El área metropolitana de Cúcuta</w:t>
            </w:r>
          </w:p>
          <w:p w14:paraId="1482CE4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Tibú</w:t>
            </w:r>
          </w:p>
          <w:p w14:paraId="7930BF4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Puerto Santander</w:t>
            </w:r>
          </w:p>
          <w:p w14:paraId="5E27E5A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proofErr w:type="spellStart"/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Ragonvalia</w:t>
            </w:r>
            <w:proofErr w:type="spellEnd"/>
          </w:p>
          <w:p w14:paraId="3BA3360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Herrán</w:t>
            </w:r>
          </w:p>
          <w:p w14:paraId="7F5C810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Toledo</w:t>
            </w:r>
          </w:p>
          <w:p w14:paraId="1ACE1B1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Pamplona</w:t>
            </w:r>
          </w:p>
          <w:p w14:paraId="6FF23AD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Pamplonita</w:t>
            </w:r>
          </w:p>
          <w:p w14:paraId="3AC7284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Chinácota</w:t>
            </w:r>
          </w:p>
          <w:p w14:paraId="05605EF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proofErr w:type="spellStart"/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Durama</w:t>
            </w:r>
            <w:proofErr w:type="spellEnd"/>
          </w:p>
          <w:p w14:paraId="5D29092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Ocaña</w:t>
            </w:r>
          </w:p>
          <w:p w14:paraId="0A50A63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Bochalema</w:t>
            </w:r>
          </w:p>
          <w:p w14:paraId="530624D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El Carmen</w:t>
            </w:r>
          </w:p>
          <w:p w14:paraId="2DBF115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Convención</w:t>
            </w:r>
          </w:p>
          <w:p w14:paraId="1607E40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Teorama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4DD8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Cúcuta</w:t>
            </w:r>
          </w:p>
          <w:p w14:paraId="66745CB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Los Patios</w:t>
            </w:r>
          </w:p>
          <w:p w14:paraId="1915A0F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Villa del Rosario</w:t>
            </w:r>
          </w:p>
          <w:p w14:paraId="6DCBE37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San Cayetano</w:t>
            </w:r>
          </w:p>
          <w:p w14:paraId="41E2229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El Zulia</w:t>
            </w:r>
          </w:p>
          <w:p w14:paraId="1B57183D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Puerto Santander</w:t>
            </w:r>
          </w:p>
          <w:p w14:paraId="774993E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Ocaña</w:t>
            </w:r>
          </w:p>
          <w:p w14:paraId="5CBC0A84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Pamplona</w:t>
            </w:r>
          </w:p>
          <w:p w14:paraId="34EC3EB3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662E1D36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22385B3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7CCD8C6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8A51F57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1B0066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8F16C71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9DD2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106F50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2F37DD7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22F740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183F37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E20B0F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730DFA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901A65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F5673A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29F9BA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023CC5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862B13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D35A81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E7EE9D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5DD319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399C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7EF95A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D4CF52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C655F3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380375FC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7D221A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36307F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934B2F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5C1B43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32ACA8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BA8EAF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A4A257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098B76F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65F684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52F318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</w:tr>
      <w:tr w:rsidR="002E5883" w:rsidRPr="002E5883" w14:paraId="6CC7C64A" w14:textId="77777777" w:rsidTr="005615B9">
        <w:trPr>
          <w:cantSplit/>
          <w:trHeight w:val="702"/>
        </w:trPr>
        <w:tc>
          <w:tcPr>
            <w:tcW w:w="8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F93FA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>Putumayo</w:t>
            </w:r>
          </w:p>
          <w:p w14:paraId="398CAC9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64C5333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C4A4DB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13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57BE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Puerto Asís</w:t>
            </w:r>
          </w:p>
          <w:p w14:paraId="06BEBC1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 xml:space="preserve">Puerto </w:t>
            </w:r>
            <w:proofErr w:type="spellStart"/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Leguízamo</w:t>
            </w:r>
            <w:proofErr w:type="spellEnd"/>
          </w:p>
          <w:p w14:paraId="5E416A4F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La Dorada - San Miguel</w:t>
            </w:r>
          </w:p>
          <w:p w14:paraId="0E9830E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La Hormiga o Valle del Guamuez</w:t>
            </w: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86CA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Puerto Asís</w:t>
            </w:r>
          </w:p>
          <w:p w14:paraId="158D03A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 xml:space="preserve">Puerto </w:t>
            </w:r>
            <w:proofErr w:type="spellStart"/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Leguízamo</w:t>
            </w:r>
            <w:proofErr w:type="spellEnd"/>
          </w:p>
          <w:p w14:paraId="5DD123E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La Hormiga o Valle del Guamuez</w:t>
            </w:r>
          </w:p>
          <w:p w14:paraId="3B5B751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8C0B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6AF5E486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64CE3C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7ECB80A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2FFB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53E8541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12EDC215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463B520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</w:tr>
      <w:tr w:rsidR="002E5883" w:rsidRPr="002E5883" w14:paraId="517A69E4" w14:textId="77777777" w:rsidTr="005615B9">
        <w:trPr>
          <w:cantSplit/>
          <w:trHeight w:val="294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EF19B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fr-FR" w:eastAsia="es-ES"/>
              </w:rPr>
            </w:pP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fr-FR" w:eastAsia="es-ES"/>
              </w:rPr>
              <w:t>Vaupés</w:t>
            </w:r>
          </w:p>
          <w:p w14:paraId="2357905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fr-FR" w:eastAsia="es-ES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A1D71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fr-FR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fr-FR" w:eastAsia="es-ES"/>
              </w:rPr>
              <w:t>Mitú</w:t>
            </w:r>
          </w:p>
          <w:p w14:paraId="43587A3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fr-FR" w:eastAsia="es-ES"/>
              </w:rPr>
            </w:pPr>
            <w:proofErr w:type="spellStart"/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Taraira</w:t>
            </w:r>
            <w:proofErr w:type="spellEnd"/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4E400" w14:textId="77777777" w:rsidR="002E5883" w:rsidRPr="002E5883" w:rsidRDefault="002E5883" w:rsidP="005615B9">
            <w:pPr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fr-FR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fr-FR" w:eastAsia="es-ES"/>
              </w:rPr>
              <w:t>Mitú</w:t>
            </w:r>
          </w:p>
          <w:p w14:paraId="37BB95F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fr-FR" w:eastAsia="es-ES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3EC09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proofErr w:type="spellStart"/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Yabaraté</w:t>
            </w:r>
            <w:proofErr w:type="spellEnd"/>
          </w:p>
          <w:p w14:paraId="2432D29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proofErr w:type="spellStart"/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Pacoa</w:t>
            </w:r>
            <w:proofErr w:type="spellEnd"/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4A81E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  <w:p w14:paraId="2F725D84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</w:tr>
      <w:tr w:rsidR="002E5883" w:rsidRPr="002E5883" w14:paraId="120D4417" w14:textId="77777777" w:rsidTr="005615B9">
        <w:trPr>
          <w:trHeight w:hRule="exact" w:val="270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D40F8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b/>
                <w:bCs/>
                <w:color w:val="323E4F" w:themeColor="text2" w:themeShade="BF"/>
                <w:sz w:val="16"/>
                <w:szCs w:val="16"/>
                <w:lang w:val="es-ES" w:eastAsia="es-ES"/>
              </w:rPr>
              <w:t>Vichada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24E93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Puerto Carreño</w:t>
            </w: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D2721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Puerto Carreño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31300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  <w:r w:rsidRPr="002E5883">
              <w:rPr>
                <w:rFonts w:asciiTheme="majorHAnsi" w:eastAsia="Times New Roman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  <w:t>Cumaribo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CC422" w14:textId="77777777" w:rsidR="002E5883" w:rsidRPr="002E5883" w:rsidRDefault="002E5883" w:rsidP="005615B9">
            <w:pPr>
              <w:rPr>
                <w:rFonts w:asciiTheme="majorHAnsi" w:eastAsia="Arial Unicode MS" w:hAnsiTheme="majorHAnsi" w:cstheme="majorHAnsi"/>
                <w:color w:val="323E4F" w:themeColor="text2" w:themeShade="BF"/>
                <w:sz w:val="16"/>
                <w:szCs w:val="16"/>
                <w:lang w:val="es-ES" w:eastAsia="es-ES"/>
              </w:rPr>
            </w:pPr>
          </w:p>
        </w:tc>
      </w:tr>
    </w:tbl>
    <w:p w14:paraId="21F9E406" w14:textId="77777777" w:rsidR="002E5883" w:rsidRDefault="002E5883" w:rsidP="002E5883">
      <w:pPr>
        <w:jc w:val="both"/>
        <w:rPr>
          <w:rFonts w:cstheme="minorHAnsi"/>
          <w:bCs/>
        </w:rPr>
      </w:pPr>
    </w:p>
    <w:p w14:paraId="0AAD8077" w14:textId="77777777" w:rsidR="002E5883" w:rsidRPr="00361E1C" w:rsidRDefault="002E5883" w:rsidP="002E5883">
      <w:pPr>
        <w:jc w:val="both"/>
        <w:rPr>
          <w:rFonts w:asciiTheme="majorHAnsi" w:hAnsiTheme="majorHAnsi" w:cstheme="majorHAnsi"/>
          <w:bCs/>
          <w:color w:val="323E4F" w:themeColor="text2" w:themeShade="BF"/>
          <w:sz w:val="22"/>
          <w:szCs w:val="22"/>
        </w:rPr>
      </w:pPr>
      <w:r w:rsidRPr="00361E1C">
        <w:rPr>
          <w:rFonts w:asciiTheme="majorHAnsi" w:hAnsiTheme="majorHAnsi" w:cstheme="majorHAnsi"/>
          <w:bCs/>
          <w:color w:val="323E4F" w:themeColor="text2" w:themeShade="BF"/>
          <w:sz w:val="22"/>
          <w:szCs w:val="22"/>
        </w:rPr>
        <w:t>(</w:t>
      </w:r>
      <w:proofErr w:type="gramStart"/>
      <w:r w:rsidRPr="00361E1C">
        <w:rPr>
          <w:rFonts w:asciiTheme="majorHAnsi" w:hAnsiTheme="majorHAnsi" w:cstheme="majorHAnsi"/>
          <w:bCs/>
          <w:color w:val="323E4F" w:themeColor="text2" w:themeShade="BF"/>
          <w:sz w:val="22"/>
          <w:szCs w:val="22"/>
        </w:rPr>
        <w:t>*)Decretos</w:t>
      </w:r>
      <w:proofErr w:type="gramEnd"/>
      <w:r w:rsidRPr="00361E1C">
        <w:rPr>
          <w:rFonts w:asciiTheme="majorHAnsi" w:hAnsiTheme="majorHAnsi" w:cstheme="majorHAnsi"/>
          <w:bCs/>
          <w:color w:val="323E4F" w:themeColor="text2" w:themeShade="BF"/>
          <w:sz w:val="22"/>
          <w:szCs w:val="22"/>
        </w:rPr>
        <w:t xml:space="preserve"> 1814 de 1995, 150 de 1996, 2036 de 1995, 930 de 1996, 2561 de 1997, 2875 de 2001, 1206 de 2001, 1730 de 2002, 2970 de 2003, 1037 de 2004 y 3459 de 2004, 2135 de 2021,</w:t>
      </w:r>
    </w:p>
    <w:p w14:paraId="3D26173E" w14:textId="77777777" w:rsidR="002E5883" w:rsidRPr="00361E1C" w:rsidRDefault="002E5883" w:rsidP="002E5883">
      <w:pPr>
        <w:jc w:val="both"/>
        <w:rPr>
          <w:rFonts w:asciiTheme="majorHAnsi" w:hAnsiTheme="majorHAnsi" w:cstheme="majorHAnsi"/>
          <w:bCs/>
          <w:color w:val="323E4F" w:themeColor="text2" w:themeShade="BF"/>
          <w:sz w:val="22"/>
          <w:szCs w:val="22"/>
        </w:rPr>
      </w:pPr>
    </w:p>
    <w:p w14:paraId="79568055" w14:textId="77777777" w:rsidR="002E5883" w:rsidRPr="00361E1C" w:rsidRDefault="002E5883" w:rsidP="002E5883">
      <w:pPr>
        <w:jc w:val="both"/>
        <w:rPr>
          <w:rFonts w:asciiTheme="majorHAnsi" w:hAnsiTheme="majorHAnsi" w:cstheme="majorHAnsi"/>
          <w:bCs/>
          <w:color w:val="323E4F" w:themeColor="text2" w:themeShade="BF"/>
          <w:sz w:val="22"/>
          <w:szCs w:val="22"/>
        </w:rPr>
      </w:pPr>
      <w:r w:rsidRPr="00361E1C">
        <w:rPr>
          <w:rFonts w:asciiTheme="majorHAnsi" w:hAnsiTheme="majorHAnsi" w:cstheme="majorHAnsi"/>
          <w:bCs/>
          <w:color w:val="323E4F" w:themeColor="text2" w:themeShade="BF"/>
          <w:sz w:val="22"/>
          <w:szCs w:val="22"/>
        </w:rPr>
        <w:t>(1) ZF: Zonas de Frontera: Aquellos municipios, corregimientos Especiales de Departamentos Fronterizos, colindantes con los límites de la República de Colombia, y aquellos en cuyas actividades económicas y sociales se advierte la influencia directa del fenómeno fronterizo.</w:t>
      </w:r>
    </w:p>
    <w:p w14:paraId="068642C8" w14:textId="77777777" w:rsidR="002E5883" w:rsidRPr="00361E1C" w:rsidRDefault="002E5883" w:rsidP="002E5883">
      <w:pPr>
        <w:jc w:val="both"/>
        <w:rPr>
          <w:rFonts w:asciiTheme="majorHAnsi" w:hAnsiTheme="majorHAnsi" w:cstheme="majorHAnsi"/>
          <w:bCs/>
          <w:color w:val="323E4F" w:themeColor="text2" w:themeShade="BF"/>
          <w:sz w:val="22"/>
          <w:szCs w:val="22"/>
        </w:rPr>
      </w:pPr>
      <w:r w:rsidRPr="00361E1C">
        <w:rPr>
          <w:rFonts w:asciiTheme="majorHAnsi" w:hAnsiTheme="majorHAnsi" w:cstheme="majorHAnsi"/>
          <w:bCs/>
          <w:color w:val="323E4F" w:themeColor="text2" w:themeShade="BF"/>
          <w:sz w:val="22"/>
          <w:szCs w:val="22"/>
        </w:rPr>
        <w:t>(2) UEDF: Unidades Especiales de Desarrollo Fronterizo: Aquellos Municipios, Corregimientos Especiales y áreas metropolitanas pertenecientes a las Zonas de Frontera, en los que se hace indispensable crear condiciones especiales para el desarrollo económico y social mediante la facilitación de la integración con las comunidades fronterizas de los países vecinos, el establecimiento de las actividades productivas, el intercambio de bienes y servicios y la libre circulación de personas y vehículos</w:t>
      </w:r>
    </w:p>
    <w:p w14:paraId="76BD15ED" w14:textId="67BC968B" w:rsidR="00A82FCD" w:rsidRDefault="002E5883" w:rsidP="002E5883">
      <w:r w:rsidRPr="00361E1C">
        <w:rPr>
          <w:rFonts w:asciiTheme="majorHAnsi" w:hAnsiTheme="majorHAnsi" w:cstheme="majorHAnsi"/>
          <w:bCs/>
          <w:color w:val="323E4F" w:themeColor="text2" w:themeShade="BF"/>
          <w:sz w:val="22"/>
          <w:szCs w:val="22"/>
        </w:rPr>
        <w:t>(3) Departamentos fronterizos: Son aquellos departamentos limítrofes con un Estado vecino</w:t>
      </w:r>
    </w:p>
    <w:sectPr w:rsidR="00A82FC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618C" w14:textId="77777777" w:rsidR="002E5883" w:rsidRDefault="002E5883" w:rsidP="002E5883">
      <w:r>
        <w:separator/>
      </w:r>
    </w:p>
  </w:endnote>
  <w:endnote w:type="continuationSeparator" w:id="0">
    <w:p w14:paraId="7C94281D" w14:textId="77777777" w:rsidR="002E5883" w:rsidRDefault="002E5883" w:rsidP="002E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E65E" w14:textId="2F9E8F8D" w:rsidR="002E5883" w:rsidRDefault="002E5883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F5D016" wp14:editId="5C6E623E">
          <wp:simplePos x="0" y="0"/>
          <wp:positionH relativeFrom="page">
            <wp:align>right</wp:align>
          </wp:positionH>
          <wp:positionV relativeFrom="paragraph">
            <wp:posOffset>127000</wp:posOffset>
          </wp:positionV>
          <wp:extent cx="7808181" cy="304800"/>
          <wp:effectExtent l="0" t="0" r="2540" b="0"/>
          <wp:wrapSquare wrapText="bothSides"/>
          <wp:docPr id="42001523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15230" name="Imagen 420015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181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64AD" w14:textId="77777777" w:rsidR="002E5883" w:rsidRDefault="002E5883" w:rsidP="002E5883">
      <w:r>
        <w:separator/>
      </w:r>
    </w:p>
  </w:footnote>
  <w:footnote w:type="continuationSeparator" w:id="0">
    <w:p w14:paraId="5C4DD633" w14:textId="77777777" w:rsidR="002E5883" w:rsidRDefault="002E5883" w:rsidP="002E5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32FE" w14:textId="33EF84C4" w:rsidR="002E5883" w:rsidRDefault="002E5883">
    <w:pPr>
      <w:pStyle w:val="Encabezado"/>
    </w:pPr>
    <w:r w:rsidRPr="00B54013">
      <w:rPr>
        <w:rFonts w:cs="Calibri"/>
        <w:bCs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5D1A1D60" wp14:editId="7DCD1AE6">
          <wp:simplePos x="0" y="0"/>
          <wp:positionH relativeFrom="column">
            <wp:posOffset>4859020</wp:posOffset>
          </wp:positionH>
          <wp:positionV relativeFrom="paragraph">
            <wp:posOffset>-455930</wp:posOffset>
          </wp:positionV>
          <wp:extent cx="1866265" cy="875030"/>
          <wp:effectExtent l="0" t="0" r="635" b="1270"/>
          <wp:wrapSquare wrapText="bothSides"/>
          <wp:docPr id="4326552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6552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Cs/>
        <w:noProof/>
        <w:sz w:val="2"/>
        <w:szCs w:val="2"/>
      </w:rPr>
      <w:drawing>
        <wp:anchor distT="0" distB="0" distL="114300" distR="114300" simplePos="0" relativeHeight="251660288" behindDoc="0" locked="0" layoutInCell="1" allowOverlap="1" wp14:anchorId="05010D96" wp14:editId="794F99D3">
          <wp:simplePos x="0" y="0"/>
          <wp:positionH relativeFrom="page">
            <wp:posOffset>635</wp:posOffset>
          </wp:positionH>
          <wp:positionV relativeFrom="paragraph">
            <wp:posOffset>-457835</wp:posOffset>
          </wp:positionV>
          <wp:extent cx="5984240" cy="875030"/>
          <wp:effectExtent l="0" t="0" r="0" b="127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700335" name="Imagen 155370033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967"/>
                  <a:stretch/>
                </pic:blipFill>
                <pic:spPr bwMode="auto">
                  <a:xfrm>
                    <a:off x="0" y="0"/>
                    <a:ext cx="5984240" cy="875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83"/>
    <w:rsid w:val="002E5883"/>
    <w:rsid w:val="00A8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8A65"/>
  <w15:chartTrackingRefBased/>
  <w15:docId w15:val="{F1A8C675-9E25-425C-A916-4EA7CFF8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88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5883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E5883"/>
  </w:style>
  <w:style w:type="paragraph" w:styleId="Piedepgina">
    <w:name w:val="footer"/>
    <w:basedOn w:val="Normal"/>
    <w:link w:val="PiedepginaCar"/>
    <w:uiPriority w:val="99"/>
    <w:unhideWhenUsed/>
    <w:rsid w:val="002E5883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5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Cortes Gómez</dc:creator>
  <cp:keywords/>
  <dc:description/>
  <cp:lastModifiedBy>Sandra Milena Cortes Gómez</cp:lastModifiedBy>
  <cp:revision>1</cp:revision>
  <dcterms:created xsi:type="dcterms:W3CDTF">2023-11-08T19:47:00Z</dcterms:created>
  <dcterms:modified xsi:type="dcterms:W3CDTF">2023-11-08T19:49:00Z</dcterms:modified>
</cp:coreProperties>
</file>